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550"/>
      </w:tblGrid>
      <w:tr w:rsidR="00FA32D8" w:rsidRPr="00FA32D8" w14:paraId="5C279424" w14:textId="77777777" w:rsidTr="006B4672">
        <w:trPr>
          <w:trHeight w:val="5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F351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53B427A4" w14:textId="24C7EA4F" w:rsidR="00FA32D8" w:rsidRPr="00FA32D8" w:rsidRDefault="00FA32D8" w:rsidP="006B4672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B347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16CC3CBD" w14:textId="77777777" w:rsidTr="006B4672">
        <w:trPr>
          <w:trHeight w:val="1401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11C0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E970" w14:textId="77777777" w:rsidR="00FA32D8" w:rsidRPr="00FA32D8" w:rsidRDefault="00FA32D8" w:rsidP="008C7DBF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 If dropped off by coaches pupils should be escorted onto to the schools area on the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cricket 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field by staff </w:t>
            </w:r>
          </w:p>
        </w:tc>
      </w:tr>
      <w:tr w:rsidR="00FA32D8" w:rsidRPr="00FA32D8" w14:paraId="6C736F8D" w14:textId="77777777" w:rsidTr="006B4672">
        <w:trPr>
          <w:trHeight w:val="3342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EA57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compete.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D09E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Parent/spectat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 area is around the cricket barriers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, and cordoned off from the competition area and participating pupils.</w:t>
            </w:r>
          </w:p>
          <w:p w14:paraId="4D63FC0A" w14:textId="77777777" w:rsidR="00FA32D8" w:rsidRPr="00FA32D8" w:rsidRDefault="008C7DBF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Parents must stay behind the fencing/railing round the outside of the cricket area</w:t>
            </w:r>
          </w:p>
          <w:p w14:paraId="0FC8DFC8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283DAE76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for glass and other sharp objects.</w:t>
            </w:r>
          </w:p>
          <w:p w14:paraId="615A9E30" w14:textId="77777777" w:rsidR="00FA32D8" w:rsidRPr="00FA32D8" w:rsidRDefault="00FA32D8" w:rsidP="008C7DBF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will be checked before use</w:t>
            </w:r>
          </w:p>
        </w:tc>
      </w:tr>
      <w:tr w:rsidR="00FA32D8" w:rsidRPr="00FA32D8" w14:paraId="74C95BFE" w14:textId="77777777" w:rsidTr="006B4672">
        <w:trPr>
          <w:trHeight w:val="1391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6571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6536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0A9A9533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675A6B10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12CA4518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13A9CEEC" w14:textId="77777777" w:rsidTr="006B4672">
        <w:trPr>
          <w:trHeight w:val="1681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1AE7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0508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briefing about the rules</w:t>
            </w:r>
          </w:p>
          <w:p w14:paraId="6261DA26" w14:textId="77777777" w:rsidR="00FA32D8" w:rsidRPr="008C7DBF" w:rsidRDefault="00FA32D8" w:rsidP="008C7DBF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5EFAC044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54AED016" w14:textId="77777777" w:rsidR="00FA32D8" w:rsidRPr="00FA32D8" w:rsidRDefault="008C7DBF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running the event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5171BE99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FA32D8" w:rsidRPr="00FA32D8" w14:paraId="66161602" w14:textId="77777777" w:rsidTr="006B4672">
        <w:trPr>
          <w:trHeight w:val="2231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F751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D87C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02F4E2D8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07AF2B20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434A3E9D" w14:textId="77777777" w:rsidTr="006B4672">
        <w:trPr>
          <w:trHeight w:val="1391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4213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D162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 w:rsidR="00BD4E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cricket </w:t>
            </w:r>
            <w:proofErr w:type="spellStart"/>
            <w:r w:rsidR="00BD4E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centre</w:t>
            </w:r>
            <w:proofErr w:type="spellEnd"/>
            <w:r w:rsidR="00BD4E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70036774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4DA4B896" w14:textId="77777777" w:rsidR="00FA32D8" w:rsidRPr="00FA32D8" w:rsidRDefault="00FA32D8" w:rsidP="00BD4ED4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FA32D8" w:rsidRPr="00FA32D8" w14:paraId="6625F920" w14:textId="77777777" w:rsidTr="006B4672">
        <w:trPr>
          <w:trHeight w:val="1391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EB00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09EF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440DF2BC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59D330DE" w14:textId="77777777" w:rsidR="008C348F" w:rsidRDefault="004D06F4"/>
    <w:sectPr w:rsidR="008C3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CFE33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533B0A2D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29F1" w14:textId="77777777" w:rsidR="004D06F4" w:rsidRDefault="004D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C2F58" w14:textId="77777777" w:rsidR="004D06F4" w:rsidRDefault="004D0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9E5A" w14:textId="77777777" w:rsidR="004D06F4" w:rsidRDefault="004D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6923D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4230648D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C96CD" w14:textId="77777777" w:rsidR="004D06F4" w:rsidRDefault="004D0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DBAEE" w14:textId="53CD0113" w:rsidR="00FA32D8" w:rsidRPr="006B4672" w:rsidRDefault="006B4672" w:rsidP="00FA32D8">
    <w:pPr>
      <w:pStyle w:val="Header"/>
      <w:jc w:val="center"/>
      <w:rPr>
        <w:sz w:val="24"/>
        <w:szCs w:val="24"/>
        <w:u w:val="single"/>
      </w:rPr>
    </w:pPr>
    <w:r w:rsidRPr="006B4672">
      <w:rPr>
        <w:noProof/>
        <w:u w:val="single"/>
      </w:rPr>
      <w:drawing>
        <wp:anchor distT="0" distB="0" distL="114300" distR="114300" simplePos="0" relativeHeight="251658240" behindDoc="1" locked="0" layoutInCell="1" allowOverlap="1" wp14:anchorId="0A814787" wp14:editId="0170E234">
          <wp:simplePos x="0" y="0"/>
          <wp:positionH relativeFrom="column">
            <wp:posOffset>-863600</wp:posOffset>
          </wp:positionH>
          <wp:positionV relativeFrom="paragraph">
            <wp:posOffset>-392430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672">
      <w:rPr>
        <w:sz w:val="24"/>
        <w:szCs w:val="24"/>
        <w:u w:val="single"/>
      </w:rPr>
      <w:t xml:space="preserve">SPSSA </w:t>
    </w:r>
    <w:r w:rsidR="004D06F4">
      <w:rPr>
        <w:sz w:val="24"/>
        <w:szCs w:val="24"/>
        <w:u w:val="single"/>
      </w:rPr>
      <w:t xml:space="preserve">Kwik </w:t>
    </w:r>
    <w:r w:rsidR="00BD4ED4" w:rsidRPr="006B4672">
      <w:rPr>
        <w:sz w:val="24"/>
        <w:szCs w:val="24"/>
        <w:u w:val="single"/>
      </w:rPr>
      <w:t>Cricket Risk Assessment</w:t>
    </w:r>
  </w:p>
  <w:p w14:paraId="26F90F7C" w14:textId="77777777" w:rsidR="00FA32D8" w:rsidRDefault="00FA3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3074" w14:textId="77777777" w:rsidR="004D06F4" w:rsidRDefault="004D0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241BFC"/>
    <w:rsid w:val="0038109A"/>
    <w:rsid w:val="004D06F4"/>
    <w:rsid w:val="006B4672"/>
    <w:rsid w:val="008C7DBF"/>
    <w:rsid w:val="00BD4ED4"/>
    <w:rsid w:val="00D63A0D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BEFFB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5</cp:revision>
  <dcterms:created xsi:type="dcterms:W3CDTF">2021-02-26T10:56:00Z</dcterms:created>
  <dcterms:modified xsi:type="dcterms:W3CDTF">2021-03-05T14:59:00Z</dcterms:modified>
</cp:coreProperties>
</file>